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Readingheading11pt"/>
        <w:spacing w:before="0" w:after="62"/>
        <w:rPr>
          <w:sz w:val="22"/>
          <w:szCs w:val="22"/>
        </w:rPr>
      </w:pPr>
      <w:r>
        <w:rPr>
          <w:sz w:val="22"/>
          <w:szCs w:val="22"/>
        </w:rPr>
        <w:t>Collect</w:t>
      </w:r>
    </w:p>
    <w:p>
      <w:pPr>
        <w:pStyle w:val="Readingtext10pt"/>
        <w:rPr/>
      </w:pPr>
      <w:r>
        <w:rPr/>
        <w:t>Almighty Lord and everlasting God,</w:t>
        <w:br/>
        <w:t xml:space="preserve">we beseech you to direct, sanctify and govern </w:t>
        <w:br/>
        <w:t>both our hearts and bodies</w:t>
        <w:br/>
        <w:t xml:space="preserve">in the ways of your laws </w:t>
        <w:br/>
        <w:t>and the works of your commandments;</w:t>
        <w:br/>
        <w:t xml:space="preserve">that through your most mighty protection, </w:t>
        <w:br/>
        <w:t>both here and ever,</w:t>
        <w:br/>
        <w:t>we may be preserved in body and soul;</w:t>
        <w:br/>
        <w:t>through our Lord and Saviour Jesus Christ …</w:t>
      </w:r>
    </w:p>
    <w:p>
      <w:pPr>
        <w:pStyle w:val="Readingheading11pt"/>
        <w:rPr/>
      </w:pPr>
      <w:r>
        <w:rPr/>
        <w:t>Isaiah 1.1, 10-20</w:t>
      </w:r>
    </w:p>
    <w:p>
      <w:pPr>
        <w:pStyle w:val="Readingtext10pt"/>
        <w:rPr>
          <w:sz w:val="18"/>
          <w:szCs w:val="18"/>
        </w:rPr>
      </w:pPr>
      <w:r>
        <w:rPr>
          <w:b/>
          <w:bCs/>
          <w:sz w:val="18"/>
          <w:szCs w:val="18"/>
        </w:rPr>
        <w:t>1</w:t>
      </w:r>
      <w:r>
        <w:rPr>
          <w:bCs/>
          <w:sz w:val="18"/>
          <w:szCs w:val="18"/>
        </w:rPr>
        <w:t xml:space="preserve"> The vision of Isaiah son of Amoz, which he saw concerning Judah and Jerusalem in the days of Uzziah, Jotham, Ahaz, and Hezekiah, kings of Judah. </w:t>
      </w:r>
    </w:p>
    <w:p>
      <w:pPr>
        <w:pStyle w:val="Readingtext10pt"/>
        <w:rPr>
          <w:sz w:val="18"/>
          <w:szCs w:val="18"/>
        </w:rPr>
      </w:pPr>
      <w:r>
        <w:rPr>
          <w:sz w:val="18"/>
          <w:szCs w:val="18"/>
        </w:rPr>
        <w:t>10 Hear the word of the Lord, you rulers of Sodom!</w:t>
        <w:br/>
        <w:t xml:space="preserve">Listen to the teaching of our God, you people of Gomorrah! </w:t>
        <w:br/>
        <w:t>11 What to me is the multitude of your sacrifices?</w:t>
        <w:br/>
        <w:t>   says the Lord;</w:t>
        <w:br/>
        <w:t>I have had enough of burnt-offerings of rams</w:t>
        <w:br/>
        <w:t>   and the fat of fed beasts;</w:t>
        <w:br/>
        <w:t xml:space="preserve">I do not delight in the blood of bulls, or of lambs, or of goats. </w:t>
        <w:br/>
        <w:t>12 When you come to appear before me,</w:t>
        <w:br/>
        <w:t>   who asked this from your hand?</w:t>
        <w:br/>
        <w:t xml:space="preserve">   Trample my courts no more; </w:t>
        <w:br/>
        <w:t>13 bringing offerings is futile;</w:t>
        <w:br/>
        <w:t>   incense is an abomination to me.</w:t>
        <w:br/>
        <w:t>New moon and sabbath and calling of convocation—</w:t>
        <w:br/>
        <w:t xml:space="preserve">   I cannot endure solemn assemblies with iniquity. </w:t>
        <w:br/>
        <w:t>14 Your new moons and your appointed festivals</w:t>
        <w:br/>
        <w:t>   my soul hates;</w:t>
        <w:br/>
        <w:t>they have become a burden to me,</w:t>
        <w:br/>
        <w:t xml:space="preserve">   I am weary of bearing them. </w:t>
        <w:br/>
        <w:t>15 When you stretch out your hands,</w:t>
        <w:br/>
        <w:t>   I will hide my eyes from you;</w:t>
        <w:br/>
        <w:t>even though you make many prayers, I will not listen;</w:t>
        <w:br/>
        <w:t xml:space="preserve">   your hands are full of blood. </w:t>
        <w:br/>
        <w:t>16 Wash yourselves; make yourselves clean;</w:t>
        <w:br/>
        <w:t>   remove the evil of your doings from before my eyes;</w:t>
        <w:br/>
        <w:t>cease to do evil, 17   learn to do good;</w:t>
        <w:br/>
        <w:t>seek justice, rescue the oppressed,</w:t>
        <w:br/>
        <w:t xml:space="preserve">defend the orphan, </w:t>
      </w:r>
      <w:r>
        <w:rPr>
          <w:sz w:val="18"/>
          <w:szCs w:val="18"/>
        </w:rPr>
        <w:t>p</w:t>
      </w:r>
      <w:r>
        <w:rPr>
          <w:sz w:val="18"/>
          <w:szCs w:val="18"/>
        </w:rPr>
        <w:t xml:space="preserve">lead for the widow. </w:t>
      </w:r>
    </w:p>
    <w:p>
      <w:pPr>
        <w:pStyle w:val="Readingtext10pt"/>
        <w:rPr>
          <w:sz w:val="18"/>
          <w:szCs w:val="18"/>
        </w:rPr>
      </w:pPr>
      <w:r>
        <w:rPr>
          <w:sz w:val="18"/>
          <w:szCs w:val="18"/>
        </w:rPr>
        <w:t>18 Come now, let us argue it out, says the Lord:</w:t>
        <w:br/>
        <w:t>though your sins are like scarlet,</w:t>
        <w:br/>
        <w:t>   they shall be like snow;</w:t>
        <w:br/>
        <w:t xml:space="preserve">though they are red like crimson, </w:t>
        <w:br/>
        <w:t xml:space="preserve">   they shall become like wool. </w:t>
        <w:br/>
        <w:t xml:space="preserve">19 If you are willing and obedient, </w:t>
        <w:br/>
        <w:t xml:space="preserve">   you shall eat the good of the land; </w:t>
        <w:br/>
        <w:t>20 but if you refuse and rebel,</w:t>
        <w:br/>
        <w:t>   you shall be devoured by the sword;</w:t>
        <w:br/>
        <w:t xml:space="preserve">   for the mouth of the Lord has spoken. </w:t>
      </w:r>
    </w:p>
    <w:p>
      <w:pPr>
        <w:pStyle w:val="Readingtext10pt"/>
        <w:rPr>
          <w:sz w:val="18"/>
          <w:szCs w:val="18"/>
        </w:rPr>
      </w:pPr>
      <w:r>
        <w:rPr>
          <w:sz w:val="18"/>
          <w:szCs w:val="18"/>
        </w:rPr>
        <w:t>This is the word of the Lord.</w:t>
        <w:tab/>
      </w:r>
      <w:r>
        <w:rPr>
          <w:b/>
          <w:sz w:val="18"/>
          <w:szCs w:val="18"/>
        </w:rPr>
        <w:t xml:space="preserve">All: </w:t>
      </w:r>
      <w:r>
        <w:rPr>
          <w:sz w:val="18"/>
          <w:szCs w:val="18"/>
        </w:rPr>
        <w:t>Thanks be to God.</w:t>
      </w:r>
    </w:p>
    <w:p>
      <w:pPr>
        <w:pStyle w:val="Readingheading11pt"/>
        <w:rPr/>
      </w:pPr>
      <w:r>
        <w:rPr/>
        <w:t>Psalm 50.1–8, 23–end</w:t>
      </w:r>
    </w:p>
    <w:p>
      <w:pPr>
        <w:pStyle w:val="Readingtext10pt"/>
        <w:rPr/>
      </w:pPr>
      <w:r>
        <w:rPr/>
        <w:t>1  The Lord, the most mighty God, has spoken •</w:t>
        <w:br/>
        <w:t>   and called the world from the rising of the sun to its setting.</w:t>
        <w:br/>
        <w:t>2  Out of Zion, perfect in beauty, God shines forth; •</w:t>
        <w:br/>
        <w:t>   our God comes and will not keep silence.</w:t>
        <w:br/>
        <w:t>3  Consuming fire goes out before him •</w:t>
        <w:br/>
        <w:t>   and a mighty tempest stirs about him.</w:t>
        <w:br/>
        <w:t>4  He calls the heaven above, •</w:t>
        <w:br/>
        <w:t>   and the earth, that he may judge his people:</w:t>
        <w:br/>
        <w:t>5  ‘Gather to me my faithful, •</w:t>
        <w:br/>
        <w:t>   who have sealed my covenant with sacrifice.’</w:t>
        <w:br/>
        <w:t>6  Let the heavens declare his righteousness, •</w:t>
        <w:br/>
        <w:t>   for God himself is judge.</w:t>
        <w:br/>
        <w:t>7  Hear, O my people, and I will speak: •</w:t>
        <w:br/>
        <w:t>   ‘I will testify against you, O Israel;</w:t>
        <w:br/>
        <w:t>      for I am God, your God.</w:t>
        <w:br/>
        <w:t>8  ‘I will not reprove you for your sacrifices, •</w:t>
        <w:br/>
        <w:t>   for your burnt offerings are always before me.</w:t>
        <w:br/>
        <w:t>23  ‘You that forget God, consider this well, •</w:t>
        <w:br/>
        <w:t>   lest I tear you apart and there is none to deliver you.</w:t>
        <w:br/>
        <w:t>24  ‘Whoever offers me the sacrifice of thanksgiving</w:t>
        <w:br/>
        <w:t xml:space="preserve"> </w:t>
        <w:tab/>
        <w:t>honours me •</w:t>
        <w:br/>
        <w:t>   and to those who keep my way</w:t>
        <w:br/>
        <w:t>      will I show the salvation of God.’</w:t>
      </w:r>
    </w:p>
    <w:p>
      <w:pPr>
        <w:pStyle w:val="Readingheading11pt"/>
        <w:rPr/>
      </w:pPr>
      <w:r>
        <w:rPr/>
        <w:t>Gospel Reading</w:t>
        <w:tab/>
        <w:t>Luke 12.32–40</w:t>
      </w:r>
    </w:p>
    <w:p>
      <w:pPr>
        <w:pStyle w:val="Readingtext"/>
        <w:spacing w:before="0" w:after="120"/>
        <w:rPr>
          <w:sz w:val="18"/>
          <w:szCs w:val="18"/>
        </w:rPr>
      </w:pPr>
      <w:r>
        <w:rPr>
          <w:sz w:val="18"/>
          <w:szCs w:val="18"/>
        </w:rPr>
        <w:t>Hear the Gospel of our Lord Jesus Christ according to Luke.</w:t>
        <w:br/>
      </w:r>
      <w:r>
        <w:rPr>
          <w:b/>
          <w:sz w:val="18"/>
          <w:szCs w:val="18"/>
        </w:rPr>
        <w:t xml:space="preserve">All: </w:t>
      </w:r>
      <w:r>
        <w:rPr>
          <w:sz w:val="18"/>
          <w:szCs w:val="18"/>
        </w:rPr>
        <w:t>Glory to you, O Lord.</w:t>
      </w:r>
    </w:p>
    <w:p>
      <w:pPr>
        <w:pStyle w:val="Readingtext"/>
        <w:rPr>
          <w:sz w:val="18"/>
          <w:szCs w:val="18"/>
        </w:rPr>
      </w:pPr>
      <w:r>
        <w:rPr>
          <w:sz w:val="18"/>
          <w:szCs w:val="18"/>
        </w:rPr>
        <w:t>Jesus said to his disciples,</w:t>
        <w:br/>
      </w:r>
      <w:r>
        <w:rPr>
          <w:sz w:val="18"/>
          <w:szCs w:val="18"/>
          <w:vertAlign w:val="superscript"/>
        </w:rPr>
        <w:t xml:space="preserve">32 </w:t>
      </w:r>
      <w:r>
        <w:rPr>
          <w:sz w:val="18"/>
          <w:szCs w:val="18"/>
        </w:rPr>
        <w:t xml:space="preserve">‘Do not be afraid, little flock, for it is your Father’s good pleasure to give you the kingdom. </w:t>
      </w:r>
      <w:r>
        <w:rPr>
          <w:sz w:val="18"/>
          <w:szCs w:val="18"/>
          <w:vertAlign w:val="superscript"/>
        </w:rPr>
        <w:t xml:space="preserve">33 </w:t>
      </w:r>
      <w:r>
        <w:rPr>
          <w:sz w:val="18"/>
          <w:szCs w:val="18"/>
        </w:rPr>
        <w:t xml:space="preserve">Sell your possessions, and give alms. Make purses for yourselves that do not wear out, an unfailing treasure in heaven, where no thief comes near and no moth destroys. </w:t>
      </w:r>
      <w:r>
        <w:rPr>
          <w:sz w:val="18"/>
          <w:szCs w:val="18"/>
          <w:vertAlign w:val="superscript"/>
        </w:rPr>
        <w:t xml:space="preserve">34 </w:t>
      </w:r>
      <w:r>
        <w:rPr>
          <w:sz w:val="18"/>
          <w:szCs w:val="18"/>
        </w:rPr>
        <w:t xml:space="preserve">For where your treasure is, there your heart will be also. </w:t>
      </w:r>
    </w:p>
    <w:p>
      <w:pPr>
        <w:pStyle w:val="Readingtext"/>
        <w:rPr>
          <w:sz w:val="18"/>
          <w:szCs w:val="18"/>
        </w:rPr>
      </w:pPr>
      <w:r>
        <w:rPr>
          <w:sz w:val="18"/>
          <w:szCs w:val="18"/>
          <w:vertAlign w:val="superscript"/>
        </w:rPr>
        <w:t>35</w:t>
      </w:r>
      <w:r>
        <w:rPr>
          <w:sz w:val="18"/>
          <w:szCs w:val="18"/>
        </w:rPr>
        <w:t xml:space="preserve"> ‘Be dressed for action and have your lamps lit; </w:t>
      </w:r>
      <w:r>
        <w:rPr>
          <w:sz w:val="18"/>
          <w:szCs w:val="18"/>
          <w:vertAlign w:val="superscript"/>
        </w:rPr>
        <w:t xml:space="preserve">36 </w:t>
      </w:r>
      <w:r>
        <w:rPr>
          <w:sz w:val="18"/>
          <w:szCs w:val="18"/>
        </w:rPr>
        <w:t xml:space="preserve">be like those who are waiting for their master to return from the wedding banquet, so that they may open the door for him as soon as he comes and knocks. </w:t>
      </w:r>
      <w:r>
        <w:rPr>
          <w:sz w:val="18"/>
          <w:szCs w:val="18"/>
          <w:vertAlign w:val="superscript"/>
        </w:rPr>
        <w:t xml:space="preserve">37 </w:t>
      </w:r>
      <w:r>
        <w:rPr>
          <w:sz w:val="18"/>
          <w:szCs w:val="18"/>
        </w:rPr>
        <w:t xml:space="preserve">Blessed are those slaves whom the master finds alert when he comes; truly I tell you, he will fasten his belt and have them sit down to eat, and he will come and serve them. </w:t>
      </w:r>
      <w:r>
        <w:rPr>
          <w:sz w:val="18"/>
          <w:szCs w:val="18"/>
          <w:vertAlign w:val="superscript"/>
        </w:rPr>
        <w:t xml:space="preserve">38 </w:t>
      </w:r>
      <w:r>
        <w:rPr>
          <w:sz w:val="18"/>
          <w:szCs w:val="18"/>
        </w:rPr>
        <w:t xml:space="preserve">If he comes during the middle of the night, or near dawn, and finds them so, blessed are those slaves. </w:t>
      </w:r>
    </w:p>
    <w:p>
      <w:pPr>
        <w:pStyle w:val="Readingtext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39 </w:t>
      </w:r>
      <w:r>
        <w:rPr>
          <w:sz w:val="18"/>
          <w:szCs w:val="18"/>
        </w:rPr>
        <w:t xml:space="preserve">‘But know this: if the owner of the house had known at what hour the thief was coming, he would not have let his house be broken into. </w:t>
      </w:r>
      <w:r>
        <w:rPr>
          <w:sz w:val="18"/>
          <w:szCs w:val="18"/>
          <w:vertAlign w:val="superscript"/>
        </w:rPr>
        <w:t xml:space="preserve">40 </w:t>
      </w:r>
      <w:r>
        <w:rPr>
          <w:sz w:val="18"/>
          <w:szCs w:val="18"/>
        </w:rPr>
        <w:t xml:space="preserve">You also must be ready, for the Son of Man is coming at an unexpected hour.’ </w:t>
      </w:r>
    </w:p>
    <w:p>
      <w:pPr>
        <w:pStyle w:val="Readingtext"/>
        <w:spacing w:before="120" w:after="60"/>
        <w:rPr>
          <w:sz w:val="18"/>
          <w:szCs w:val="18"/>
        </w:rPr>
      </w:pPr>
      <w:r>
        <w:rPr>
          <w:sz w:val="18"/>
          <w:szCs w:val="18"/>
        </w:rPr>
        <w:t>This is the Gospel of the Lord.</w:t>
        <w:tab/>
      </w:r>
      <w:r>
        <w:rPr>
          <w:b/>
          <w:sz w:val="18"/>
          <w:szCs w:val="18"/>
        </w:rPr>
        <w:t xml:space="preserve">All: </w:t>
      </w:r>
      <w:r>
        <w:rPr>
          <w:sz w:val="18"/>
          <w:szCs w:val="18"/>
        </w:rPr>
        <w:t>Praise to you, O Christ.</w:t>
      </w:r>
    </w:p>
    <w:p>
      <w:pPr>
        <w:pStyle w:val="Readingheading11pt"/>
        <w:rPr/>
      </w:pPr>
      <w:r>
        <w:rPr/>
        <w:t>Post Communion</w:t>
      </w:r>
    </w:p>
    <w:p>
      <w:pPr>
        <w:pStyle w:val="Readingtext10pt"/>
        <w:spacing w:before="0" w:after="60"/>
        <w:rPr/>
      </w:pPr>
      <w:r>
        <w:rPr/>
        <w:t>Strengthen for service, Lord,</w:t>
        <w:br/>
        <w:t>the hands that have taken holy things;</w:t>
        <w:br/>
        <w:t>may the ears which have heard your word</w:t>
        <w:br/>
        <w:t>be deaf to clamour and dispute;</w:t>
        <w:br/>
        <w:t>may the tongues which have sung your praise be free from deceit;</w:t>
        <w:br/>
        <w:t>may the eyes which have seen the tokens of your love</w:t>
        <w:br/>
        <w:t>shine with the light of hope;</w:t>
        <w:br/>
        <w:t>and may the bodies which have been fed with your body</w:t>
        <w:br/>
        <w:t>be refreshed with the fullness of your life;</w:t>
        <w:br/>
        <w:t>glory to you for ever.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794" w:right="794" w:gutter="0" w:header="680" w:top="737" w:footer="680" w:bottom="737"/>
      <w:pgNumType w:fmt="decimal"/>
      <w:cols w:num="2" w:space="454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hd w:val="clear" w:fill="FFFFFF"/>
      <w:rPr>
        <w:rFonts w:ascii="Times New Roman" w:hAnsi="Times New Roman" w:cs="Times New Roman"/>
        <w:i/>
        <w:i/>
        <w:iCs/>
        <w:color w:val="808080"/>
        <w:sz w:val="16"/>
        <w:szCs w:val="16"/>
      </w:rPr>
    </w:pPr>
    <w:r>
      <w:rPr/>
      <mc:AlternateContent>
        <mc:Choice Requires="wps">
          <w:drawing>
            <wp:inline distT="0" distB="0" distL="0" distR="0">
              <wp:extent cx="6504940" cy="17780"/>
              <wp:effectExtent l="0" t="0" r="0" b="0"/>
              <wp:docPr id="1" name="Shap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04840" cy="1764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Shape1" path="m0,0l-2147483645,0l-2147483645,-2147483646l0,-2147483646xe" fillcolor="#a0a0a0" stroked="f" o:allowincell="f" style="position:absolute;margin-left:0pt;margin-top:-1.45pt;width:512.15pt;height:1.3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Readingheading13pt"/>
      <w:spacing w:before="0" w:after="0"/>
      <w:rPr/>
    </w:pPr>
    <w:r>
      <w:rPr>
        <w:rFonts w:cs="Times New Roman" w:ascii="Times New Roman" w:hAnsi="Times New Roman"/>
        <w:i/>
        <w:iCs/>
        <w:color w:val="808080"/>
        <w:sz w:val="16"/>
        <w:szCs w:val="16"/>
      </w:rPr>
      <w:t>The New Revised Standard Version (Anglicized Edition)</w:t>
    </w:r>
    <w:r>
      <w:rPr>
        <w:rFonts w:cs="Times New Roman" w:ascii="Times New Roman" w:hAnsi="Times New Roman"/>
        <w:color w:val="808080"/>
        <w:sz w:val="16"/>
        <w:szCs w:val="16"/>
      </w:rPr>
      <w:t xml:space="preserve">, copyright 1989, 1995 by the Division of Christian Education of the </w:t>
    </w:r>
    <w:hyperlink r:id="rId1">
      <w:r>
        <w:rPr>
          <w:rStyle w:val="Hyperlink"/>
          <w:rFonts w:cs="Times New Roman" w:ascii="Times New Roman" w:hAnsi="Times New Roman"/>
          <w:color w:val="808080"/>
          <w:sz w:val="16"/>
          <w:szCs w:val="16"/>
        </w:rPr>
        <w:t>National Council of the Churches of Christ in the United States of America</w:t>
      </w:r>
    </w:hyperlink>
    <w:r>
      <w:rPr>
        <w:rFonts w:cs="Times New Roman" w:ascii="Times New Roman" w:hAnsi="Times New Roman"/>
        <w:color w:val="808080"/>
        <w:sz w:val="16"/>
        <w:szCs w:val="16"/>
      </w:rPr>
      <w:t xml:space="preserve">. Used by permission. All rights reserved. </w:t>
      <w:br/>
    </w:r>
    <w:r>
      <w:rPr>
        <w:rFonts w:cs="Times New Roman" w:ascii="Times New Roman" w:hAnsi="Times New Roman"/>
        <w:i/>
        <w:color w:val="808080"/>
        <w:sz w:val="16"/>
        <w:szCs w:val="16"/>
      </w:rPr>
      <w:t>Common Worship</w:t>
    </w:r>
    <w:r>
      <w:rPr>
        <w:rFonts w:cs="Times New Roman" w:ascii="Times New Roman" w:hAnsi="Times New Roman"/>
        <w:color w:val="808080"/>
        <w:sz w:val="16"/>
        <w:szCs w:val="16"/>
      </w:rPr>
      <w:t xml:space="preserve"> Collect, Post Communion prayer and Psalter © The Archbishops’ Council 2000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hd w:val="clear" w:fill="FFFFFF"/>
      <w:rPr>
        <w:rFonts w:ascii="Times New Roman" w:hAnsi="Times New Roman" w:cs="Times New Roman"/>
        <w:i/>
        <w:i/>
        <w:iCs/>
        <w:color w:val="808080"/>
        <w:sz w:val="16"/>
        <w:szCs w:val="16"/>
      </w:rPr>
    </w:pPr>
    <w:r>
      <w:rPr/>
      <mc:AlternateContent>
        <mc:Choice Requires="wps">
          <w:drawing>
            <wp:inline distT="0" distB="0" distL="0" distR="0">
              <wp:extent cx="6504940" cy="17780"/>
              <wp:effectExtent l="0" t="0" r="0" b="0"/>
              <wp:docPr id="2" name="Shap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04840" cy="1764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Shape1" path="m0,0l-2147483645,0l-2147483645,-2147483646l0,-2147483646xe" fillcolor="#a0a0a0" stroked="f" o:allowincell="f" style="position:absolute;margin-left:0pt;margin-top:-1.45pt;width:512.15pt;height:1.3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Readingheading13pt"/>
      <w:spacing w:before="0" w:after="0"/>
      <w:rPr/>
    </w:pPr>
    <w:r>
      <w:rPr>
        <w:rFonts w:cs="Times New Roman" w:ascii="Times New Roman" w:hAnsi="Times New Roman"/>
        <w:i/>
        <w:iCs/>
        <w:color w:val="808080"/>
        <w:sz w:val="16"/>
        <w:szCs w:val="16"/>
      </w:rPr>
      <w:t>The New Revised Standard Version (Anglicized Edition)</w:t>
    </w:r>
    <w:r>
      <w:rPr>
        <w:rFonts w:cs="Times New Roman" w:ascii="Times New Roman" w:hAnsi="Times New Roman"/>
        <w:color w:val="808080"/>
        <w:sz w:val="16"/>
        <w:szCs w:val="16"/>
      </w:rPr>
      <w:t xml:space="preserve">, copyright 1989, 1995 by the Division of Christian Education of the </w:t>
    </w:r>
    <w:hyperlink r:id="rId1">
      <w:r>
        <w:rPr>
          <w:rStyle w:val="Hyperlink"/>
          <w:rFonts w:cs="Times New Roman" w:ascii="Times New Roman" w:hAnsi="Times New Roman"/>
          <w:color w:val="808080"/>
          <w:sz w:val="16"/>
          <w:szCs w:val="16"/>
        </w:rPr>
        <w:t>National Council of the Churches of Christ in the United States of America</w:t>
      </w:r>
    </w:hyperlink>
    <w:r>
      <w:rPr>
        <w:rFonts w:cs="Times New Roman" w:ascii="Times New Roman" w:hAnsi="Times New Roman"/>
        <w:color w:val="808080"/>
        <w:sz w:val="16"/>
        <w:szCs w:val="16"/>
      </w:rPr>
      <w:t xml:space="preserve">. Used by permission. All rights reserved. </w:t>
      <w:br/>
    </w:r>
    <w:r>
      <w:rPr>
        <w:rFonts w:cs="Times New Roman" w:ascii="Times New Roman" w:hAnsi="Times New Roman"/>
        <w:i/>
        <w:color w:val="808080"/>
        <w:sz w:val="16"/>
        <w:szCs w:val="16"/>
      </w:rPr>
      <w:t>Common Worship</w:t>
    </w:r>
    <w:r>
      <w:rPr>
        <w:rFonts w:cs="Times New Roman" w:ascii="Times New Roman" w:hAnsi="Times New Roman"/>
        <w:color w:val="808080"/>
        <w:sz w:val="16"/>
        <w:szCs w:val="16"/>
      </w:rPr>
      <w:t xml:space="preserve"> Collect, Post Communion prayer and Psalter © The Archbishops’ Council 2000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4153"/>
        <w:tab w:val="clear" w:pos="8306"/>
        <w:tab w:val="center" w:pos="4962" w:leader="none"/>
        <w:tab w:val="right" w:pos="10318" w:leader="none"/>
      </w:tabs>
      <w:spacing w:before="0" w:after="240"/>
      <w:rPr/>
    </w:pPr>
    <w:r>
      <w:rPr>
        <w:b w:val="false"/>
        <w:bCs w:val="false"/>
      </w:rPr>
      <w:t>Proper 1</w:t>
    </w:r>
    <w:r>
      <w:rPr>
        <w:b w:val="false"/>
        <w:bCs w:val="false"/>
      </w:rPr>
      <w:t>4</w:t>
    </w:r>
    <w:r>
      <w:rPr>
        <w:b/>
      </w:rPr>
      <w:tab/>
    </w:r>
    <w:r>
      <w:rPr>
        <w:b/>
      </w:rPr>
      <w:t>10</w:t>
    </w:r>
    <w:r>
      <w:rPr>
        <w:b/>
        <w:vertAlign w:val="superscript"/>
      </w:rPr>
      <w:t>th</w:t>
    </w:r>
    <w:r>
      <w:rPr>
        <w:b/>
      </w:rPr>
      <w:t xml:space="preserve"> </w:t>
    </w:r>
    <w:r>
      <w:rPr>
        <w:b/>
      </w:rPr>
      <w:t>August 2025</w:t>
      <w:tab/>
    </w:r>
    <w:r>
      <w:rPr>
        <w:b/>
      </w:rPr>
      <w:t>8</w:t>
    </w:r>
    <w:r>
      <w:rPr>
        <w:b/>
        <w:vertAlign w:val="superscript"/>
      </w:rPr>
      <w:t>th</w:t>
    </w:r>
    <w:r>
      <w:rPr>
        <w:b/>
      </w:rPr>
      <w:t xml:space="preserve"> Sunday after Trinity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4153"/>
        <w:tab w:val="clear" w:pos="8306"/>
        <w:tab w:val="center" w:pos="4962" w:leader="none"/>
        <w:tab w:val="right" w:pos="10318" w:leader="none"/>
      </w:tabs>
      <w:spacing w:before="0" w:after="240"/>
      <w:rPr/>
    </w:pPr>
    <w:r>
      <w:rPr>
        <w:b w:val="false"/>
        <w:bCs w:val="false"/>
      </w:rPr>
      <w:t>Proper 1</w:t>
    </w:r>
    <w:r>
      <w:rPr>
        <w:b w:val="false"/>
        <w:bCs w:val="false"/>
      </w:rPr>
      <w:t>4</w:t>
    </w:r>
    <w:r>
      <w:rPr>
        <w:b/>
      </w:rPr>
      <w:tab/>
    </w:r>
    <w:r>
      <w:rPr>
        <w:b/>
      </w:rPr>
      <w:t>10</w:t>
    </w:r>
    <w:r>
      <w:rPr>
        <w:b/>
        <w:vertAlign w:val="superscript"/>
      </w:rPr>
      <w:t>th</w:t>
    </w:r>
    <w:r>
      <w:rPr>
        <w:b/>
      </w:rPr>
      <w:t xml:space="preserve"> </w:t>
    </w:r>
    <w:r>
      <w:rPr>
        <w:b/>
      </w:rPr>
      <w:t>August 2025</w:t>
      <w:tab/>
    </w:r>
    <w:r>
      <w:rPr>
        <w:b/>
      </w:rPr>
      <w:t>8</w:t>
    </w:r>
    <w:r>
      <w:rPr>
        <w:b/>
        <w:vertAlign w:val="superscript"/>
      </w:rPr>
      <w:t>th</w:t>
    </w:r>
    <w:r>
      <w:rPr>
        <w:b/>
      </w:rPr>
      <w:t xml:space="preserve"> Sunday after Trinity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40"/>
  <w:autoHyphenation w:val="true"/>
  <w:hyphenationZone w:val="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en-GB" w:eastAsia="zh-CN" w:bidi="ar-SA"/>
    </w:rPr>
  </w:style>
  <w:style w:type="paragraph" w:styleId="Heading2">
    <w:name w:val="heading 2"/>
    <w:basedOn w:val="Normal"/>
    <w:next w:val="BodyText"/>
    <w:qFormat/>
    <w:pPr>
      <w:widowControl/>
      <w:numPr>
        <w:ilvl w:val="1"/>
        <w:numId w:val="2"/>
      </w:numPr>
      <w:spacing w:before="280" w:after="280"/>
      <w:outlineLvl w:val="1"/>
    </w:pPr>
    <w:rPr>
      <w:rFonts w:ascii="Verdana" w:hAnsi="Verdana" w:cs="Verdana"/>
      <w:b/>
      <w:bCs/>
      <w:color w:val="880000"/>
      <w:sz w:val="29"/>
      <w:szCs w:val="29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strike w:val="false"/>
      <w:dstrike w:val="false"/>
      <w:color w:val="0000BB"/>
      <w:u w:val="none"/>
    </w:rPr>
  </w:style>
  <w:style w:type="character" w:styleId="sc">
    <w:name w:val="sc"/>
    <w:qFormat/>
    <w:rPr>
      <w:smallCaps/>
    </w:rPr>
  </w:style>
  <w:style w:type="character" w:styleId="thinspace">
    <w:name w:val="thinspace"/>
    <w:basedOn w:val="DefaultParagraphFont"/>
    <w:qFormat/>
    <w:rPr/>
  </w:style>
  <w:style w:type="character" w:styleId="HTMLCite">
    <w:name w:val="HTML Cite"/>
    <w:qFormat/>
    <w:rPr>
      <w:i/>
      <w:iCs/>
    </w:rPr>
  </w:style>
  <w:style w:type="character" w:styleId="StyleVerdanaCustomColorRGB100">
    <w:name w:val="Style Verdana Custom Color(RGB(100))"/>
    <w:qFormat/>
    <w:rPr>
      <w:rFonts w:ascii="Arial" w:hAnsi="Arial" w:cs="Arial"/>
      <w:color w:val="010000"/>
      <w:sz w:val="24"/>
    </w:rPr>
  </w:style>
  <w:style w:type="character" w:styleId="StyleVerdanaCustomColorRGB100Smallcaps">
    <w:name w:val="Style Verdana Custom Color(RGB(100)) Small caps"/>
    <w:qFormat/>
    <w:rPr>
      <w:rFonts w:ascii="Arial" w:hAnsi="Arial" w:cs="Arial"/>
      <w:smallCaps/>
      <w:color w:val="010000"/>
      <w:sz w:val="22"/>
    </w:rPr>
  </w:style>
  <w:style w:type="character" w:styleId="dayspan">
    <w:name w:val="dayspan"/>
    <w:qFormat/>
    <w:rPr/>
  </w:style>
  <w:style w:type="character" w:styleId="datespan">
    <w:name w:val="datespan"/>
    <w:qFormat/>
    <w:rPr/>
  </w:style>
  <w:style w:type="character" w:styleId="tbtgspanall">
    <w:name w:val="tbtgspanall"/>
    <w:qFormat/>
    <w:rPr/>
  </w:style>
  <w:style w:type="character" w:styleId="tbtgspan2">
    <w:name w:val="tbtgspan2"/>
    <w:qFormat/>
    <w:rPr/>
  </w:style>
  <w:style w:type="character" w:styleId="cwvnum">
    <w:name w:val="cwvnum"/>
    <w:qFormat/>
    <w:rPr/>
  </w:style>
  <w:style w:type="character" w:styleId="redlight">
    <w:name w:val="redlight"/>
    <w:qFormat/>
    <w:rPr/>
  </w:style>
  <w:style w:type="character" w:styleId="rr">
    <w:name w:val="rr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z-TopofForm">
    <w:name w:val="z-Top of Form"/>
    <w:basedOn w:val="Normal"/>
    <w:next w:val="Normal"/>
    <w:qFormat/>
    <w:pPr>
      <w:widowControl/>
      <w:pBdr>
        <w:bottom w:val="single" w:sz="6" w:space="1" w:color="000000"/>
      </w:pBdr>
      <w:jc w:val="center"/>
    </w:pPr>
    <w:rPr>
      <w:rFonts w:cs="Arial"/>
      <w:vanish/>
      <w:sz w:val="16"/>
      <w:szCs w:val="16"/>
    </w:rPr>
  </w:style>
  <w:style w:type="paragraph" w:styleId="z-BottomofForm">
    <w:name w:val="z-Bottom of Form"/>
    <w:basedOn w:val="Normal"/>
    <w:next w:val="Normal"/>
    <w:qFormat/>
    <w:pPr>
      <w:widowControl/>
      <w:pBdr>
        <w:top w:val="single" w:sz="6" w:space="1" w:color="000000"/>
      </w:pBdr>
      <w:jc w:val="center"/>
    </w:pPr>
    <w:rPr>
      <w:rFonts w:cs="Arial"/>
      <w:vanish/>
      <w:sz w:val="16"/>
      <w:szCs w:val="16"/>
    </w:rPr>
  </w:style>
  <w:style w:type="paragraph" w:styleId="StyleVerdanaCustomColorRGB100Before5ptAfter5p">
    <w:name w:val="Style Verdana Custom Color(RGB(100)) Before:  5 pt After:  5 p..."/>
    <w:basedOn w:val="Normal"/>
    <w:qFormat/>
    <w:pPr>
      <w:shd w:val="clear" w:fill="FFFFFF"/>
      <w:spacing w:lineRule="atLeast" w:line="336" w:before="100" w:after="100"/>
    </w:pPr>
    <w:rPr>
      <w:color w:val="010000"/>
      <w:szCs w:val="20"/>
    </w:rPr>
  </w:style>
  <w:style w:type="paragraph" w:styleId="StyleVerdana145ptBoldCustomColorRGB13600Before">
    <w:name w:val="Style Verdana 14.5 pt Bold Custom Color(RGB(13600)) Before:  ..."/>
    <w:basedOn w:val="Normal"/>
    <w:qFormat/>
    <w:pPr>
      <w:shd w:val="clear" w:fill="FFFFFF"/>
      <w:spacing w:lineRule="atLeast" w:line="336" w:before="100" w:after="100"/>
    </w:pPr>
    <w:rPr>
      <w:b/>
      <w:bCs/>
      <w:color w:val="333333"/>
      <w:sz w:val="28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34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34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34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ItemHeading">
    <w:name w:val="Item Heading"/>
    <w:basedOn w:val="Normal"/>
    <w:qFormat/>
    <w:pPr>
      <w:spacing w:before="240" w:after="120"/>
    </w:pPr>
    <w:rPr>
      <w:b/>
      <w:bCs/>
      <w:sz w:val="28"/>
    </w:rPr>
  </w:style>
  <w:style w:type="paragraph" w:styleId="Text">
    <w:name w:val="Text"/>
    <w:basedOn w:val="Normal"/>
    <w:qFormat/>
    <w:pPr>
      <w:spacing w:before="0" w:after="120"/>
    </w:pPr>
    <w:rPr/>
  </w:style>
  <w:style w:type="paragraph" w:styleId="verse">
    <w:name w:val="verse"/>
    <w:basedOn w:val="Normal"/>
    <w:qFormat/>
    <w:pPr>
      <w:widowControl/>
      <w:spacing w:before="100" w:after="100"/>
      <w:ind w:hanging="227" w:left="227" w:right="0"/>
    </w:pPr>
    <w:rPr>
      <w:rFonts w:cs="Arial"/>
    </w:rPr>
  </w:style>
  <w:style w:type="paragraph" w:styleId="Readingheading">
    <w:name w:val="Reading heading"/>
    <w:basedOn w:val="Normal"/>
    <w:qFormat/>
    <w:pPr>
      <w:keepNext w:val="true"/>
      <w:spacing w:before="120" w:after="60"/>
    </w:pPr>
    <w:rPr>
      <w:rFonts w:ascii="Calibri" w:hAnsi="Calibri" w:cs="Calibri"/>
      <w:b/>
      <w:bCs/>
      <w:szCs w:val="22"/>
    </w:rPr>
  </w:style>
  <w:style w:type="paragraph" w:styleId="Readingtext">
    <w:name w:val="Reading text"/>
    <w:basedOn w:val="Normal"/>
    <w:qFormat/>
    <w:pPr>
      <w:spacing w:before="0" w:after="60"/>
    </w:pPr>
    <w:rPr>
      <w:rFonts w:ascii="Calibri" w:hAnsi="Calibri" w:cs="Calibri"/>
      <w:bCs/>
      <w:sz w:val="22"/>
      <w:szCs w:val="22"/>
    </w:rPr>
  </w:style>
  <w:style w:type="paragraph" w:styleId="NormalWeb">
    <w:name w:val="Normal (Web)"/>
    <w:basedOn w:val="Normal"/>
    <w:qFormat/>
    <w:pPr>
      <w:widowControl/>
      <w:spacing w:before="280" w:after="280"/>
    </w:pPr>
    <w:rPr>
      <w:rFonts w:ascii="Times New Roman" w:hAnsi="Times New Roman" w:cs="Times New Roman"/>
    </w:rPr>
  </w:style>
  <w:style w:type="paragraph" w:styleId="Psalm">
    <w:name w:val="Psalm"/>
    <w:basedOn w:val="Readingtext"/>
    <w:qFormat/>
    <w:pPr>
      <w:spacing w:before="0" w:after="0"/>
      <w:ind w:hanging="170" w:left="170" w:right="0"/>
    </w:pPr>
    <w:rPr/>
  </w:style>
  <w:style w:type="paragraph" w:styleId="Readingtext10pt">
    <w:name w:val="Reading text 10pt"/>
    <w:basedOn w:val="Readingtext"/>
    <w:qFormat/>
    <w:pPr/>
    <w:rPr>
      <w:sz w:val="20"/>
    </w:rPr>
  </w:style>
  <w:style w:type="paragraph" w:styleId="Readingheading11pt">
    <w:name w:val="Reading heading 11pt"/>
    <w:basedOn w:val="Readingheading"/>
    <w:qFormat/>
    <w:pPr/>
    <w:rPr>
      <w:sz w:val="22"/>
    </w:rPr>
  </w:style>
  <w:style w:type="paragraph" w:styleId="Readingheading13pt">
    <w:name w:val="Reading heading 13pt"/>
    <w:basedOn w:val="Readingheading"/>
    <w:qFormat/>
    <w:pPr/>
    <w:rPr>
      <w:sz w:val="26"/>
    </w:rPr>
  </w:style>
  <w:style w:type="paragraph" w:styleId="Readingtext12pt">
    <w:name w:val="Reading text 12pt"/>
    <w:basedOn w:val="Readingtext"/>
    <w:qFormat/>
    <w:pPr/>
    <w:rPr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ncccusa.org/newbtu/btuhome.html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ncccusa.org/newbtu/btuhome.html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1688</TotalTime>
  <Application>LibreOffice/25.2.4.2$Windows_X86_64 LibreOffice_project/508ff62361999404a9d3590fe47df713b5888744</Application>
  <AppVersion>15.0000</AppVersion>
  <Pages>1</Pages>
  <Words>1005</Words>
  <Characters>4339</Characters>
  <CharactersWithSpaces>5445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2025-06-01T12:49:51Z</dcterms:created>
  <dc:creator/>
  <dc:description/>
  <dc:language>en-GB</dc:language>
  <cp:lastModifiedBy/>
  <cp:lastPrinted>2025-07-22T05:52:04Z</cp:lastPrinted>
  <dcterms:modified xsi:type="dcterms:W3CDTF">2025-07-22T05:53:54Z</dcterms:modified>
  <cp:revision>166</cp:revision>
  <dc:subject/>
  <dc:title>Collect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